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566C33" w:rsidRDefault="00221630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 w:rsidRPr="00221630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8pt;z-index:-251663360" fillcolor="#f2f2f2"/>
        </w:pict>
      </w:r>
      <w:r w:rsidR="009E4306">
        <w:rPr>
          <w:rFonts w:asciiTheme="minorHAnsi" w:hAnsiTheme="minorHAnsi" w:cs="Arial"/>
          <w:b/>
          <w:sz w:val="24"/>
          <w:szCs w:val="24"/>
        </w:rPr>
        <w:t>Příloha č. 2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Pr="00CA4C59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8D1A79" w:rsidRPr="0026179C" w:rsidRDefault="008D1A79" w:rsidP="0026179C">
      <w:pPr>
        <w:pStyle w:val="Default"/>
        <w:jc w:val="center"/>
        <w:rPr>
          <w:rFonts w:ascii="Calibri" w:hAnsi="Calibri" w:cs="Calibri"/>
          <w:b/>
          <w:sz w:val="36"/>
          <w:szCs w:val="36"/>
          <w:lang w:eastAsia="cs-CZ"/>
        </w:rPr>
      </w:pPr>
      <w:r w:rsidRPr="0026179C">
        <w:rPr>
          <w:rFonts w:ascii="Calibri" w:hAnsi="Calibri" w:cs="Calibri"/>
          <w:b/>
          <w:sz w:val="36"/>
          <w:szCs w:val="36"/>
        </w:rPr>
        <w:t>„</w:t>
      </w:r>
      <w:r w:rsidR="0026179C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Pr="0026179C">
        <w:rPr>
          <w:rFonts w:ascii="Calibri" w:hAnsi="Calibri" w:cs="Calibri"/>
          <w:b/>
          <w:bCs/>
          <w:sz w:val="36"/>
          <w:szCs w:val="36"/>
        </w:rPr>
        <w:t>“</w:t>
      </w:r>
    </w:p>
    <w:p w:rsidR="008D1A79" w:rsidRDefault="008D1A79" w:rsidP="009B2F02">
      <w:pPr>
        <w:spacing w:before="60" w:after="60" w:line="240" w:lineRule="auto"/>
        <w:jc w:val="center"/>
        <w:rPr>
          <w:rFonts w:eastAsia="Times New Roman" w:cs="Calibri"/>
          <w:i/>
          <w:lang w:eastAsia="cs-CZ"/>
        </w:rPr>
      </w:pPr>
    </w:p>
    <w:p w:rsidR="009B2F02" w:rsidRPr="002A5F88" w:rsidRDefault="009B2F02" w:rsidP="009B2F02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9C2B7F" w:rsidRDefault="009C2B7F" w:rsidP="009B2F02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8D1A79" w:rsidRPr="0038017D" w:rsidRDefault="00860E6A" w:rsidP="008D1A79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8D1A79">
        <w:rPr>
          <w:rFonts w:eastAsia="Times New Roman" w:cs="Arial"/>
          <w:b/>
          <w:bCs/>
          <w:sz w:val="24"/>
          <w:szCs w:val="24"/>
          <w:lang w:eastAsia="ar-SA"/>
        </w:rPr>
        <w:t>Město Kostelec nad Orlicí</w:t>
      </w:r>
    </w:p>
    <w:p w:rsidR="008D1A79" w:rsidRPr="0038017D" w:rsidRDefault="008D1A79" w:rsidP="008D1A79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8D1A79" w:rsidRPr="0038017D" w:rsidRDefault="008D1A79" w:rsidP="008D1A79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8D1A79" w:rsidRPr="0038017D" w:rsidRDefault="008D1A79" w:rsidP="008D1A79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="00860E6A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Františkem Kinským, starostou města</w:t>
      </w:r>
    </w:p>
    <w:p w:rsidR="008D1A79" w:rsidRPr="0038017D" w:rsidRDefault="008D1A79" w:rsidP="008D1A79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9C2B7F" w:rsidRPr="0038017D" w:rsidRDefault="009C2B7F" w:rsidP="009C2B7F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9B2F02" w:rsidRPr="002E77CF" w:rsidRDefault="009B2F02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221630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221630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5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9B2F02" w:rsidRPr="00DB3B94">
        <w:rPr>
          <w:rFonts w:cs="Arial"/>
          <w:sz w:val="18"/>
          <w:szCs w:val="18"/>
        </w:rPr>
        <w:tab/>
        <w:t xml:space="preserve">(obchodní firma/název </w:t>
      </w:r>
      <w:r w:rsidR="009B2F02">
        <w:rPr>
          <w:rFonts w:cs="Arial"/>
          <w:sz w:val="18"/>
          <w:szCs w:val="18"/>
        </w:rPr>
        <w:t>účastníka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221630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21630">
        <w:rPr>
          <w:rFonts w:cs="Arial"/>
          <w:noProof/>
          <w:sz w:val="24"/>
          <w:szCs w:val="24"/>
          <w:lang w:eastAsia="cs-CZ"/>
        </w:rPr>
        <w:pict>
          <v:shape id="AutoShape 54" o:spid="_x0000_s1046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221630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21630">
        <w:rPr>
          <w:rFonts w:cs="Arial"/>
          <w:noProof/>
          <w:sz w:val="24"/>
          <w:szCs w:val="24"/>
          <w:lang w:eastAsia="cs-CZ"/>
        </w:rPr>
        <w:pict>
          <v:shape id="AutoShape 52" o:spid="_x0000_s1044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221630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3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221630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21630">
        <w:rPr>
          <w:rFonts w:cs="Arial"/>
          <w:noProof/>
          <w:sz w:val="24"/>
          <w:szCs w:val="24"/>
          <w:lang w:eastAsia="cs-CZ"/>
        </w:rPr>
        <w:pict>
          <v:shape id="AutoShape 50" o:spid="_x0000_s1042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Pr="00566C33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A76066" w:rsidRPr="00566C33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Účastník (dodavatel)</w:t>
      </w:r>
      <w:r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 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>rozsahu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4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sz w:val="24"/>
          <w:szCs w:val="24"/>
        </w:rPr>
        <w:t>dodavatelem</w:t>
      </w:r>
      <w:r>
        <w:rPr>
          <w:rFonts w:asciiTheme="minorHAnsi" w:hAnsiTheme="minorHAnsi" w:cs="Arial"/>
          <w:b/>
          <w:sz w:val="24"/>
          <w:szCs w:val="24"/>
        </w:rPr>
        <w:t xml:space="preserve"> který</w:t>
      </w:r>
      <w:r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244A9A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Pr="00576C43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A76066" w:rsidRPr="00576C43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:rsidR="0026179C" w:rsidRDefault="0026179C" w:rsidP="0026179C">
      <w:pPr>
        <w:jc w:val="both"/>
        <w:rPr>
          <w:rFonts w:asciiTheme="minorHAnsi" w:hAnsiTheme="minorHAnsi" w:cstheme="minorHAnsi"/>
        </w:rPr>
      </w:pPr>
    </w:p>
    <w:p w:rsidR="0026179C" w:rsidRPr="0026179C" w:rsidRDefault="0026179C" w:rsidP="0026179C">
      <w:pPr>
        <w:jc w:val="both"/>
        <w:rPr>
          <w:rFonts w:asciiTheme="minorHAnsi" w:hAnsiTheme="minorHAnsi" w:cstheme="minorHAnsi"/>
        </w:rPr>
      </w:pP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76066" w:rsidRPr="00256E95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76066" w:rsidRPr="00256E95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76066" w:rsidRPr="00576C43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76066" w:rsidRPr="00051CED" w:rsidRDefault="00A76066" w:rsidP="00A76066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A76066" w:rsidRPr="009E430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26179C" w:rsidRPr="00051CED" w:rsidRDefault="0026179C" w:rsidP="0026179C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proti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, vůči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4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Pr="00566C33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221630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4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3" type="#_x0000_t32" style="position:absolute;margin-left:14.65pt;margin-top:15.45pt;width:120.75pt;height:0;z-index:251654144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221630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221630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6" type="#_x0000_t32" style="position:absolute;margin-left:254.65pt;margin-top:15.25pt;width:199.5pt;height:0;z-index:251657216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 w:rsidR="00F4796F">
        <w:rPr>
          <w:rFonts w:asciiTheme="minorHAnsi" w:hAnsiTheme="minorHAnsi" w:cs="Arial"/>
          <w:sz w:val="24"/>
          <w:szCs w:val="24"/>
        </w:rPr>
        <w:t>účastníka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sz w:val="24"/>
          <w:szCs w:val="24"/>
        </w:rPr>
        <w:t>a 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221630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5" type="#_x0000_t32" style="position:absolute;left:0;text-align:left;margin-left:254.65pt;margin-top:14.3pt;width:199.5pt;height:0;z-index:251656192" o:connectortype="straight"/>
        </w:pic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C36" w:rsidRDefault="003B3C36" w:rsidP="0003428A">
      <w:pPr>
        <w:spacing w:after="0" w:line="240" w:lineRule="auto"/>
      </w:pPr>
      <w:r>
        <w:separator/>
      </w:r>
    </w:p>
  </w:endnote>
  <w:endnote w:type="continuationSeparator" w:id="1">
    <w:p w:rsidR="003B3C36" w:rsidRDefault="003B3C36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7F" w:rsidRDefault="00923D7F" w:rsidP="009C2B7F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C36" w:rsidRDefault="003B3C36" w:rsidP="0003428A">
      <w:pPr>
        <w:spacing w:after="0" w:line="240" w:lineRule="auto"/>
      </w:pPr>
      <w:r>
        <w:separator/>
      </w:r>
    </w:p>
  </w:footnote>
  <w:footnote w:type="continuationSeparator" w:id="1">
    <w:p w:rsidR="003B3C36" w:rsidRDefault="003B3C36" w:rsidP="0003428A">
      <w:pPr>
        <w:spacing w:after="0" w:line="240" w:lineRule="auto"/>
      </w:pPr>
      <w:r>
        <w:continuationSeparator/>
      </w:r>
    </w:p>
  </w:footnote>
  <w:footnote w:id="2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3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4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A79" w:rsidRDefault="0026179C" w:rsidP="008D1A79">
    <w:pPr>
      <w:spacing w:before="75" w:after="75" w:line="240" w:lineRule="auto"/>
      <w:ind w:left="360" w:right="75"/>
      <w:jc w:val="both"/>
      <w:rPr>
        <w:sz w:val="24"/>
        <w:szCs w:val="24"/>
        <w:lang w:eastAsia="cs-CZ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160020</wp:posOffset>
          </wp:positionV>
          <wp:extent cx="2032000" cy="1019175"/>
          <wp:effectExtent l="19050" t="0" r="6350" b="0"/>
          <wp:wrapNone/>
          <wp:docPr id="12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60E6A">
      <w:rPr>
        <w:noProof/>
        <w:sz w:val="24"/>
        <w:szCs w:val="24"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160020</wp:posOffset>
          </wp:positionV>
          <wp:extent cx="847725" cy="981075"/>
          <wp:effectExtent l="19050" t="0" r="9525" b="0"/>
          <wp:wrapNone/>
          <wp:docPr id="13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D1A79" w:rsidRPr="00175F19" w:rsidRDefault="008D1A79" w:rsidP="008D1A79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 w:rsidRPr="00175F19">
      <w:rPr>
        <w:rFonts w:cs="Calibri"/>
        <w:sz w:val="24"/>
        <w:szCs w:val="24"/>
        <w:lang w:eastAsia="cs-CZ"/>
      </w:rPr>
      <w:t>Veřejná zakázka:</w:t>
    </w:r>
  </w:p>
  <w:p w:rsidR="008D1A79" w:rsidRPr="0026179C" w:rsidRDefault="008D1A79" w:rsidP="0026179C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26179C">
      <w:rPr>
        <w:rFonts w:ascii="Calibri" w:hAnsi="Calibri" w:cs="Calibri"/>
        <w:b/>
      </w:rPr>
      <w:t>„</w:t>
    </w:r>
    <w:r w:rsidR="0026179C" w:rsidRPr="0026179C">
      <w:rPr>
        <w:rFonts w:ascii="Calibri" w:hAnsi="Calibri" w:cs="Calibri"/>
      </w:rPr>
      <w:t>ATLETICKÝ STADION KOSTELEC NAD ORLICÍ</w:t>
    </w:r>
    <w:r w:rsidRPr="0026179C">
      <w:rPr>
        <w:rFonts w:ascii="Calibri" w:hAnsi="Calibri" w:cs="Calibri"/>
        <w:bCs/>
      </w:rPr>
      <w:t>“</w:t>
    </w:r>
  </w:p>
  <w:p w:rsidR="008D1A79" w:rsidRDefault="008D1A79" w:rsidP="008D1A79">
    <w:pPr>
      <w:pStyle w:val="Zhlav"/>
      <w:jc w:val="center"/>
      <w:rPr>
        <w:sz w:val="24"/>
        <w:szCs w:val="24"/>
      </w:rPr>
    </w:pPr>
  </w:p>
  <w:p w:rsidR="00851034" w:rsidRDefault="00851034" w:rsidP="009C2B7F">
    <w:pPr>
      <w:pStyle w:val="Zhlav"/>
    </w:pPr>
  </w:p>
  <w:p w:rsidR="00860E6A" w:rsidRPr="009C2B7F" w:rsidRDefault="00860E6A" w:rsidP="009C2B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9128C"/>
    <w:rsid w:val="000A0767"/>
    <w:rsid w:val="000A121B"/>
    <w:rsid w:val="000A6243"/>
    <w:rsid w:val="000B315F"/>
    <w:rsid w:val="000C0C07"/>
    <w:rsid w:val="000E5EAB"/>
    <w:rsid w:val="000F7D6B"/>
    <w:rsid w:val="00111DBB"/>
    <w:rsid w:val="0011229C"/>
    <w:rsid w:val="001146EC"/>
    <w:rsid w:val="0012349D"/>
    <w:rsid w:val="00161650"/>
    <w:rsid w:val="00190591"/>
    <w:rsid w:val="00196DE5"/>
    <w:rsid w:val="001A4E29"/>
    <w:rsid w:val="001C39E4"/>
    <w:rsid w:val="001E4D99"/>
    <w:rsid w:val="001F18A5"/>
    <w:rsid w:val="00203305"/>
    <w:rsid w:val="00212269"/>
    <w:rsid w:val="00212CD4"/>
    <w:rsid w:val="00214815"/>
    <w:rsid w:val="00221630"/>
    <w:rsid w:val="00235443"/>
    <w:rsid w:val="00240E70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D0236"/>
    <w:rsid w:val="002D5759"/>
    <w:rsid w:val="002D59AA"/>
    <w:rsid w:val="002E76FF"/>
    <w:rsid w:val="002F05AB"/>
    <w:rsid w:val="003038F1"/>
    <w:rsid w:val="00304A95"/>
    <w:rsid w:val="003318ED"/>
    <w:rsid w:val="00350862"/>
    <w:rsid w:val="0035651B"/>
    <w:rsid w:val="00375301"/>
    <w:rsid w:val="00376E7D"/>
    <w:rsid w:val="003B3C36"/>
    <w:rsid w:val="003B5822"/>
    <w:rsid w:val="003B64C9"/>
    <w:rsid w:val="003D6478"/>
    <w:rsid w:val="003E3E3B"/>
    <w:rsid w:val="003F613B"/>
    <w:rsid w:val="004241F7"/>
    <w:rsid w:val="00447F9F"/>
    <w:rsid w:val="00462EE6"/>
    <w:rsid w:val="00471828"/>
    <w:rsid w:val="00491706"/>
    <w:rsid w:val="004A2D08"/>
    <w:rsid w:val="004A57C7"/>
    <w:rsid w:val="004D486E"/>
    <w:rsid w:val="004D519D"/>
    <w:rsid w:val="004F3FC3"/>
    <w:rsid w:val="00500DA8"/>
    <w:rsid w:val="005046C8"/>
    <w:rsid w:val="0052188E"/>
    <w:rsid w:val="0052736C"/>
    <w:rsid w:val="00532696"/>
    <w:rsid w:val="00544A3B"/>
    <w:rsid w:val="00552D86"/>
    <w:rsid w:val="00566C33"/>
    <w:rsid w:val="005B10A9"/>
    <w:rsid w:val="005B4C5E"/>
    <w:rsid w:val="005C3014"/>
    <w:rsid w:val="005C51E1"/>
    <w:rsid w:val="005E1595"/>
    <w:rsid w:val="005E3230"/>
    <w:rsid w:val="005F22AF"/>
    <w:rsid w:val="005F4004"/>
    <w:rsid w:val="00613AEE"/>
    <w:rsid w:val="006309B1"/>
    <w:rsid w:val="00640278"/>
    <w:rsid w:val="006411F2"/>
    <w:rsid w:val="00646C95"/>
    <w:rsid w:val="006A1B80"/>
    <w:rsid w:val="006B5446"/>
    <w:rsid w:val="006C2613"/>
    <w:rsid w:val="006D40E7"/>
    <w:rsid w:val="006E41F9"/>
    <w:rsid w:val="006E7B5D"/>
    <w:rsid w:val="006F50C7"/>
    <w:rsid w:val="007016E7"/>
    <w:rsid w:val="007306E2"/>
    <w:rsid w:val="00730AD4"/>
    <w:rsid w:val="00732DCD"/>
    <w:rsid w:val="00745195"/>
    <w:rsid w:val="00751DD0"/>
    <w:rsid w:val="0075593D"/>
    <w:rsid w:val="0077094E"/>
    <w:rsid w:val="00777C8F"/>
    <w:rsid w:val="00784FEE"/>
    <w:rsid w:val="007933E8"/>
    <w:rsid w:val="00793F6A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F56"/>
    <w:rsid w:val="00851034"/>
    <w:rsid w:val="00860E6A"/>
    <w:rsid w:val="00881A44"/>
    <w:rsid w:val="008B05BC"/>
    <w:rsid w:val="008D1A79"/>
    <w:rsid w:val="008F2562"/>
    <w:rsid w:val="00907EE5"/>
    <w:rsid w:val="00911A3C"/>
    <w:rsid w:val="00923D7F"/>
    <w:rsid w:val="009432B2"/>
    <w:rsid w:val="0095293D"/>
    <w:rsid w:val="009532EC"/>
    <w:rsid w:val="00964594"/>
    <w:rsid w:val="00966BAD"/>
    <w:rsid w:val="00982A98"/>
    <w:rsid w:val="009B2F02"/>
    <w:rsid w:val="009B787F"/>
    <w:rsid w:val="009C2B7F"/>
    <w:rsid w:val="009C6EF9"/>
    <w:rsid w:val="009D6E6F"/>
    <w:rsid w:val="009E4306"/>
    <w:rsid w:val="00A22B6B"/>
    <w:rsid w:val="00A2779A"/>
    <w:rsid w:val="00A4131F"/>
    <w:rsid w:val="00A448F2"/>
    <w:rsid w:val="00A51ACF"/>
    <w:rsid w:val="00A65A5D"/>
    <w:rsid w:val="00A76066"/>
    <w:rsid w:val="00A777AB"/>
    <w:rsid w:val="00A90836"/>
    <w:rsid w:val="00AA4FB2"/>
    <w:rsid w:val="00AB1548"/>
    <w:rsid w:val="00AD1115"/>
    <w:rsid w:val="00AE3955"/>
    <w:rsid w:val="00AE79E0"/>
    <w:rsid w:val="00AF0712"/>
    <w:rsid w:val="00AF62A1"/>
    <w:rsid w:val="00B009DE"/>
    <w:rsid w:val="00B024FB"/>
    <w:rsid w:val="00B1293A"/>
    <w:rsid w:val="00B17B28"/>
    <w:rsid w:val="00B36D0E"/>
    <w:rsid w:val="00B5232C"/>
    <w:rsid w:val="00B6009D"/>
    <w:rsid w:val="00B77C01"/>
    <w:rsid w:val="00B84372"/>
    <w:rsid w:val="00BC18BE"/>
    <w:rsid w:val="00BD6610"/>
    <w:rsid w:val="00C26BF3"/>
    <w:rsid w:val="00C56079"/>
    <w:rsid w:val="00CB011E"/>
    <w:rsid w:val="00CB7A90"/>
    <w:rsid w:val="00CF4F58"/>
    <w:rsid w:val="00D07610"/>
    <w:rsid w:val="00D36F79"/>
    <w:rsid w:val="00D477B8"/>
    <w:rsid w:val="00D61332"/>
    <w:rsid w:val="00DA64D5"/>
    <w:rsid w:val="00DB2694"/>
    <w:rsid w:val="00DB26B7"/>
    <w:rsid w:val="00DC5173"/>
    <w:rsid w:val="00DD294F"/>
    <w:rsid w:val="00DD412F"/>
    <w:rsid w:val="00DF385C"/>
    <w:rsid w:val="00DF3BFB"/>
    <w:rsid w:val="00E565B2"/>
    <w:rsid w:val="00E67F1D"/>
    <w:rsid w:val="00E73135"/>
    <w:rsid w:val="00E86165"/>
    <w:rsid w:val="00E954CD"/>
    <w:rsid w:val="00EA23F4"/>
    <w:rsid w:val="00EA2CC6"/>
    <w:rsid w:val="00EA7FB8"/>
    <w:rsid w:val="00EB53AA"/>
    <w:rsid w:val="00EC579E"/>
    <w:rsid w:val="00ED01C4"/>
    <w:rsid w:val="00EE4812"/>
    <w:rsid w:val="00EF3FEE"/>
    <w:rsid w:val="00F12A50"/>
    <w:rsid w:val="00F1468D"/>
    <w:rsid w:val="00F219B0"/>
    <w:rsid w:val="00F37D19"/>
    <w:rsid w:val="00F4796F"/>
    <w:rsid w:val="00F76822"/>
    <w:rsid w:val="00FA185B"/>
    <w:rsid w:val="00FA5F1B"/>
    <w:rsid w:val="00FB061F"/>
    <w:rsid w:val="00FB200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  <o:rules v:ext="edit">
        <o:r id="V:Rule10" type="connector" idref="#_x0000_s1033"/>
        <o:r id="V:Rule11" type="connector" idref="#_x0000_s1036"/>
        <o:r id="V:Rule12" type="connector" idref="#AutoShape 50"/>
        <o:r id="V:Rule13" type="connector" idref="#AutoShape 54"/>
        <o:r id="V:Rule14" type="connector" idref="#AutoShape 51"/>
        <o:r id="V:Rule15" type="connector" idref="#_x0000_s1034"/>
        <o:r id="V:Rule16" type="connector" idref="#AutoShape 52"/>
        <o:r id="V:Rule17" type="connector" idref="#AutoShape 53"/>
        <o:r id="V:Rule1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semiHidden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2</cp:revision>
  <dcterms:created xsi:type="dcterms:W3CDTF">2017-09-06T16:06:00Z</dcterms:created>
  <dcterms:modified xsi:type="dcterms:W3CDTF">2017-09-06T16:06:00Z</dcterms:modified>
</cp:coreProperties>
</file>